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F9FE" w14:textId="77777777" w:rsidR="00E811FD" w:rsidRPr="00C61D5F" w:rsidRDefault="00E811FD" w:rsidP="00E811FD">
      <w:pPr>
        <w:pStyle w:val="Heading2"/>
        <w:spacing w:before="0"/>
        <w:jc w:val="both"/>
        <w:rPr>
          <w:rFonts w:ascii="Times New Roman" w:hAnsi="Times New Roman" w:cs="Times New Roman"/>
          <w:b/>
          <w:color w:val="auto"/>
          <w:sz w:val="24"/>
          <w:szCs w:val="24"/>
          <w:lang w:val="vi-VN"/>
        </w:rPr>
      </w:pPr>
      <w:bookmarkStart w:id="0" w:name="_Toc166442835"/>
      <w:r w:rsidRPr="00C61D5F">
        <w:rPr>
          <w:rFonts w:ascii="Times New Roman" w:hAnsi="Times New Roman" w:cs="Times New Roman"/>
          <w:b/>
          <w:color w:val="auto"/>
          <w:sz w:val="24"/>
          <w:szCs w:val="24"/>
        </w:rPr>
        <w:t>107. TƯỚI TẠO NGUỒN</w:t>
      </w:r>
      <w:bookmarkEnd w:id="0"/>
    </w:p>
    <w:p w14:paraId="1298620A" w14:textId="77777777" w:rsidR="00E811FD" w:rsidRPr="00C61D5F" w:rsidRDefault="00E811FD" w:rsidP="00E811FD">
      <w:pPr>
        <w:shd w:val="clear" w:color="auto" w:fill="FFFFFF"/>
        <w:jc w:val="both"/>
        <w:rPr>
          <w:sz w:val="28"/>
          <w:szCs w:val="28"/>
          <w:lang w:val="vi-VN"/>
        </w:rPr>
      </w:pPr>
      <w:r w:rsidRPr="00C61D5F">
        <w:rPr>
          <w:sz w:val="28"/>
          <w:szCs w:val="28"/>
          <w:lang w:val="vi-VN"/>
        </w:rPr>
        <w:t>dẫn nước tới khu vực cần tưới khi công trình đầu mối hoạt động nhưng mực nước của nguồn nước tưới thấp hơn mặt ruộng, không tưới tự chảy trực tiếp được. Công trình đầu mối chỉ đủ khả năng cấp nước đến một vị trí thích hợp để từ đó bơm, tát nước tưới mới vào mặt ruộng.</w:t>
      </w:r>
    </w:p>
    <w:p w14:paraId="7AF5C829" w14:textId="77777777" w:rsidR="00E811FD" w:rsidRPr="00AC327C" w:rsidRDefault="00E811FD" w:rsidP="00E811FD">
      <w:pPr>
        <w:shd w:val="clear" w:color="auto" w:fill="FFFFFF"/>
        <w:ind w:firstLine="720"/>
        <w:jc w:val="both"/>
        <w:textAlignment w:val="baseline"/>
        <w:rPr>
          <w:sz w:val="28"/>
          <w:szCs w:val="28"/>
          <w:lang w:val="vi-VN"/>
        </w:rPr>
      </w:pPr>
      <w:r w:rsidRPr="00AC327C">
        <w:rPr>
          <w:sz w:val="28"/>
          <w:szCs w:val="28"/>
          <w:lang w:val="vi-VN"/>
        </w:rPr>
        <w:t>Khu vực TTN nằm giữa những khu vực có dòng nước tưới tự chảy nhưng ở độ cao lớn hơn cao trình dòng nước</w:t>
      </w:r>
      <w:r>
        <w:rPr>
          <w:sz w:val="28"/>
          <w:szCs w:val="28"/>
          <w:lang w:val="vi-VN"/>
        </w:rPr>
        <w:t>;</w:t>
      </w:r>
      <w:r w:rsidRPr="00AC327C">
        <w:rPr>
          <w:sz w:val="28"/>
          <w:szCs w:val="28"/>
          <w:lang w:val="vi-VN"/>
        </w:rPr>
        <w:t xml:space="preserve"> nước tưới không thể tự chảy từ nguồn nước của hệ thống thủy lợi hoặc sông, h</w:t>
      </w:r>
      <w:r w:rsidRPr="00BD384D">
        <w:rPr>
          <w:sz w:val="28"/>
          <w:szCs w:val="28"/>
          <w:lang w:val="vi-VN"/>
        </w:rPr>
        <w:t>ồ</w:t>
      </w:r>
      <w:r w:rsidRPr="00AC327C">
        <w:rPr>
          <w:sz w:val="28"/>
          <w:szCs w:val="28"/>
          <w:lang w:val="vi-VN"/>
        </w:rPr>
        <w:t xml:space="preserve"> đến đó được. Tuy nhiên, vẫn có thể tưới được bằng cách chuyển nước nhờ máy bơm nước hoặc các thiết bị dâng nước khác đến một cao trình cần thiết nào đó trong hệ thống cấp nước. Cũng có nơi quy định diện tích TTN là diện tích mà tổ chức, hộ gia đình, cá nhân dùng nước phải bơm, tát nước từ các công trình thủy lợi lên mặt ruộng. </w:t>
      </w:r>
    </w:p>
    <w:p w14:paraId="420CC561" w14:textId="77777777" w:rsidR="00E811FD" w:rsidRPr="00AC327C" w:rsidRDefault="00E811FD" w:rsidP="00E811FD">
      <w:pPr>
        <w:ind w:firstLine="720"/>
        <w:jc w:val="both"/>
        <w:rPr>
          <w:sz w:val="28"/>
          <w:szCs w:val="28"/>
          <w:lang w:val="vi-VN"/>
        </w:rPr>
      </w:pPr>
      <w:bookmarkStart w:id="1" w:name="_Toc92316914"/>
      <w:bookmarkStart w:id="2" w:name="_Toc92366096"/>
      <w:bookmarkStart w:id="3" w:name="_Toc92398228"/>
      <w:bookmarkStart w:id="4" w:name="_Toc95989962"/>
      <w:r w:rsidRPr="00BD384D">
        <w:rPr>
          <w:sz w:val="28"/>
          <w:szCs w:val="28"/>
          <w:lang w:val="vi-VN"/>
        </w:rPr>
        <w:t>P</w:t>
      </w:r>
      <w:r w:rsidRPr="00AC327C">
        <w:rPr>
          <w:sz w:val="28"/>
          <w:szCs w:val="28"/>
          <w:lang w:val="vi-VN"/>
        </w:rPr>
        <w:t>hải thực hiện TTN ở các hệ thống thủy lợi</w:t>
      </w:r>
      <w:r w:rsidRPr="00BD384D">
        <w:rPr>
          <w:sz w:val="28"/>
          <w:szCs w:val="28"/>
          <w:lang w:val="vi-VN"/>
        </w:rPr>
        <w:t xml:space="preserve"> vì</w:t>
      </w:r>
      <w:bookmarkEnd w:id="1"/>
      <w:bookmarkEnd w:id="2"/>
      <w:bookmarkEnd w:id="3"/>
      <w:bookmarkEnd w:id="4"/>
      <w:r w:rsidRPr="00BD384D">
        <w:rPr>
          <w:sz w:val="28"/>
          <w:szCs w:val="28"/>
          <w:lang w:val="vi-VN"/>
        </w:rPr>
        <w:t xml:space="preserve"> </w:t>
      </w:r>
      <w:bookmarkStart w:id="5" w:name="_Toc92316915"/>
      <w:bookmarkStart w:id="6" w:name="_Toc92366097"/>
      <w:bookmarkStart w:id="7" w:name="_Toc92398229"/>
      <w:bookmarkStart w:id="8" w:name="_Toc95989963"/>
      <w:r w:rsidRPr="00BD384D">
        <w:rPr>
          <w:sz w:val="28"/>
          <w:szCs w:val="28"/>
          <w:lang w:val="vi-VN"/>
        </w:rPr>
        <w:t>đ</w:t>
      </w:r>
      <w:r w:rsidRPr="00AC327C">
        <w:rPr>
          <w:sz w:val="28"/>
          <w:szCs w:val="28"/>
          <w:lang w:val="vi-VN"/>
        </w:rPr>
        <w:t>ịa hình hệ thống phức tạp. Cao trình các khu vực tưới chênh lệch khá lớn và xen kẽ lẫn nhau. Tưới tự chảy không thể thực hiện được toàn bộ khu tưới;</w:t>
      </w:r>
      <w:bookmarkEnd w:id="5"/>
      <w:bookmarkEnd w:id="6"/>
      <w:bookmarkEnd w:id="7"/>
      <w:bookmarkEnd w:id="8"/>
      <w:r w:rsidRPr="00BD384D">
        <w:rPr>
          <w:sz w:val="28"/>
          <w:szCs w:val="28"/>
          <w:lang w:val="vi-VN"/>
        </w:rPr>
        <w:t xml:space="preserve"> </w:t>
      </w:r>
      <w:bookmarkStart w:id="9" w:name="_Toc92316916"/>
      <w:bookmarkStart w:id="10" w:name="_Toc92366098"/>
      <w:bookmarkStart w:id="11" w:name="_Toc92398230"/>
      <w:bookmarkStart w:id="12" w:name="_Toc95989964"/>
      <w:r w:rsidRPr="00BD384D">
        <w:rPr>
          <w:sz w:val="28"/>
          <w:szCs w:val="28"/>
          <w:lang w:val="vi-VN"/>
        </w:rPr>
        <w:t>t</w:t>
      </w:r>
      <w:r w:rsidRPr="00AC327C">
        <w:rPr>
          <w:sz w:val="28"/>
          <w:szCs w:val="28"/>
          <w:lang w:val="vi-VN"/>
        </w:rPr>
        <w:t>rong thời kỳ hạn hán, nguồn nước khan hiếm làm cho mực nước nguồn thấp hơn cao trình khu vực tưới, cần phải bơm nước vào kênh dẫn;</w:t>
      </w:r>
      <w:bookmarkEnd w:id="9"/>
      <w:bookmarkEnd w:id="10"/>
      <w:bookmarkEnd w:id="11"/>
      <w:bookmarkEnd w:id="12"/>
      <w:r w:rsidRPr="00BD384D">
        <w:rPr>
          <w:sz w:val="28"/>
          <w:szCs w:val="28"/>
          <w:lang w:val="vi-VN"/>
        </w:rPr>
        <w:t xml:space="preserve"> </w:t>
      </w:r>
      <w:bookmarkStart w:id="13" w:name="_Toc92316917"/>
      <w:bookmarkStart w:id="14" w:name="_Toc92366099"/>
      <w:bookmarkStart w:id="15" w:name="_Toc92398231"/>
      <w:bookmarkStart w:id="16" w:name="_Toc95989965"/>
      <w:r w:rsidRPr="00BD384D">
        <w:rPr>
          <w:sz w:val="28"/>
          <w:szCs w:val="28"/>
          <w:lang w:val="vi-VN"/>
        </w:rPr>
        <w:t>q</w:t>
      </w:r>
      <w:r w:rsidRPr="00AC327C">
        <w:rPr>
          <w:sz w:val="28"/>
          <w:szCs w:val="28"/>
          <w:lang w:val="vi-VN"/>
        </w:rPr>
        <w:t>uy hoạch và thiết kế hệ thống tưới chưa đúng, công trình xuống cấp, tổn thất nước tưới lớn. Các kênh tưới tự chảy không đủ nước, phải bơm nước từ nguồn vào kênh dẫn.</w:t>
      </w:r>
      <w:bookmarkEnd w:id="13"/>
      <w:bookmarkEnd w:id="14"/>
      <w:bookmarkEnd w:id="15"/>
      <w:bookmarkEnd w:id="16"/>
    </w:p>
    <w:p w14:paraId="7EFCF712" w14:textId="77777777" w:rsidR="00E811FD" w:rsidRPr="00AC327C" w:rsidRDefault="00E811FD" w:rsidP="00E811FD">
      <w:pPr>
        <w:ind w:firstLine="720"/>
        <w:jc w:val="both"/>
        <w:rPr>
          <w:sz w:val="28"/>
          <w:szCs w:val="28"/>
          <w:lang w:val="vi-VN"/>
        </w:rPr>
      </w:pPr>
      <w:bookmarkStart w:id="17" w:name="_Toc92316918"/>
      <w:bookmarkStart w:id="18" w:name="_Toc92366100"/>
      <w:bookmarkStart w:id="19" w:name="_Toc92398232"/>
      <w:bookmarkStart w:id="20" w:name="_Toc95989966"/>
      <w:r w:rsidRPr="00AC327C">
        <w:rPr>
          <w:sz w:val="28"/>
          <w:szCs w:val="28"/>
          <w:lang w:val="vi-VN"/>
        </w:rPr>
        <w:t xml:space="preserve">TTN phổ biến ở hầu hết các hệ thống </w:t>
      </w:r>
      <w:r w:rsidRPr="00BD384D">
        <w:rPr>
          <w:sz w:val="28"/>
          <w:szCs w:val="28"/>
          <w:lang w:val="vi-VN"/>
        </w:rPr>
        <w:t>t</w:t>
      </w:r>
      <w:r w:rsidRPr="00AC327C">
        <w:rPr>
          <w:sz w:val="28"/>
          <w:szCs w:val="28"/>
          <w:lang w:val="vi-VN"/>
        </w:rPr>
        <w:t>hủy lợi Việt Nam với các cấp độ khác nhau</w:t>
      </w:r>
      <w:bookmarkEnd w:id="17"/>
      <w:bookmarkEnd w:id="18"/>
      <w:bookmarkEnd w:id="19"/>
      <w:bookmarkEnd w:id="20"/>
      <w:r w:rsidRPr="00AC327C">
        <w:rPr>
          <w:sz w:val="28"/>
          <w:szCs w:val="28"/>
          <w:lang w:val="vi-VN"/>
        </w:rPr>
        <w:t>, đặc biệt ở các khu vực miền núi có địa hình khó dẫn nước tưới tự chảy.</w:t>
      </w:r>
    </w:p>
    <w:p w14:paraId="499F6FC4" w14:textId="77777777" w:rsidR="00E811FD" w:rsidRPr="00AC327C" w:rsidRDefault="00E811FD" w:rsidP="00E811FD">
      <w:pPr>
        <w:ind w:firstLine="720"/>
        <w:jc w:val="both"/>
        <w:rPr>
          <w:i/>
          <w:iCs/>
          <w:sz w:val="28"/>
          <w:szCs w:val="28"/>
          <w:lang w:val="vi-VN"/>
        </w:rPr>
      </w:pPr>
      <w:bookmarkStart w:id="21" w:name="_Toc92316919"/>
      <w:bookmarkStart w:id="22" w:name="_Toc92366101"/>
      <w:bookmarkStart w:id="23" w:name="_Toc92398233"/>
      <w:bookmarkStart w:id="24" w:name="_Toc95989967"/>
      <w:r w:rsidRPr="00AC327C">
        <w:rPr>
          <w:sz w:val="28"/>
          <w:szCs w:val="28"/>
          <w:lang w:val="vi-VN"/>
        </w:rPr>
        <w:t>Chi phí cho TTN cao hơn so với tưới tự chảy</w:t>
      </w:r>
      <w:r w:rsidRPr="00BD384D">
        <w:rPr>
          <w:sz w:val="28"/>
          <w:szCs w:val="28"/>
          <w:lang w:val="vi-VN"/>
        </w:rPr>
        <w:t>,</w:t>
      </w:r>
      <w:r w:rsidRPr="00AC327C">
        <w:rPr>
          <w:sz w:val="28"/>
          <w:szCs w:val="28"/>
          <w:lang w:val="vi-VN"/>
        </w:rPr>
        <w:t xml:space="preserve"> thấp hơn so với tưới động lực.</w:t>
      </w:r>
      <w:bookmarkEnd w:id="21"/>
      <w:bookmarkEnd w:id="22"/>
      <w:bookmarkEnd w:id="23"/>
      <w:r w:rsidRPr="00AC327C">
        <w:rPr>
          <w:sz w:val="28"/>
          <w:szCs w:val="28"/>
          <w:lang w:val="vi-VN"/>
        </w:rPr>
        <w:t xml:space="preserve"> Chi phí TTN được quy định là chi phí vận hành. Trường hợp công ty quản lý, khai thác công trình thủy lợi và tổ chức thủy lợi cơ sở cùng quản lý một công trình thủy lợi mà ở đó công ty quản lý, khai công trình thủy lợi làm nhiệm vụ tạo nguồn thì công ty ký hợp đồng với các tổ chức thủy lợi cơ sở quản lý một phần công trình trong hệ thống công trình làm cơ sở thanh toán kinh phí hỗ trợ.</w:t>
      </w:r>
      <w:bookmarkEnd w:id="24"/>
    </w:p>
    <w:p w14:paraId="048F805B" w14:textId="77777777" w:rsidR="00E811FD" w:rsidRPr="00AC327C" w:rsidRDefault="00E811FD" w:rsidP="00E811FD">
      <w:pPr>
        <w:ind w:firstLine="720"/>
        <w:jc w:val="both"/>
        <w:rPr>
          <w:rFonts w:eastAsia="Calibri"/>
          <w:sz w:val="28"/>
          <w:szCs w:val="28"/>
          <w:shd w:val="clear" w:color="auto" w:fill="FFFFFF"/>
          <w:lang w:val="vi-VN"/>
        </w:rPr>
      </w:pPr>
      <w:r w:rsidRPr="00BD384D">
        <w:rPr>
          <w:rFonts w:eastAsia="Calibri"/>
          <w:sz w:val="28"/>
          <w:szCs w:val="28"/>
          <w:shd w:val="clear" w:color="auto" w:fill="FFFFFF"/>
          <w:lang w:val="vi-VN"/>
        </w:rPr>
        <w:t>V</w:t>
      </w:r>
      <w:r w:rsidRPr="00AC327C">
        <w:rPr>
          <w:rFonts w:eastAsia="Calibri"/>
          <w:sz w:val="28"/>
          <w:szCs w:val="28"/>
          <w:shd w:val="clear" w:color="auto" w:fill="FFFFFF"/>
          <w:lang w:val="vi-VN"/>
        </w:rPr>
        <w:t>ùng đồi núi nước ta, hầu hết hệ thống công trình th</w:t>
      </w:r>
      <w:r w:rsidRPr="00BD384D">
        <w:rPr>
          <w:rFonts w:eastAsia="Calibri"/>
          <w:sz w:val="28"/>
          <w:szCs w:val="28"/>
          <w:shd w:val="clear" w:color="auto" w:fill="FFFFFF"/>
          <w:lang w:val="vi-VN"/>
        </w:rPr>
        <w:t>ủy</w:t>
      </w:r>
      <w:r w:rsidRPr="00AC327C">
        <w:rPr>
          <w:rFonts w:eastAsia="Calibri"/>
          <w:sz w:val="28"/>
          <w:szCs w:val="28"/>
          <w:shd w:val="clear" w:color="auto" w:fill="FFFFFF"/>
          <w:lang w:val="vi-VN"/>
        </w:rPr>
        <w:t xml:space="preserve"> lợi nhỏ, mới chỉ đáp ứng tưới tự chảy cho một phần diện tích cho lúa nước. Những khu vực đất dốc giàu tiềm năng trồng cây ăn quả, cây công nghiệp thường nằm ngoài phạm vi phục vụ của các hệ thống th</w:t>
      </w:r>
      <w:r w:rsidRPr="00BD384D">
        <w:rPr>
          <w:rFonts w:eastAsia="Calibri"/>
          <w:sz w:val="28"/>
          <w:szCs w:val="28"/>
          <w:shd w:val="clear" w:color="auto" w:fill="FFFFFF"/>
          <w:lang w:val="vi-VN"/>
        </w:rPr>
        <w:t>ủy</w:t>
      </w:r>
      <w:r w:rsidRPr="00AC327C">
        <w:rPr>
          <w:rFonts w:eastAsia="Calibri"/>
          <w:sz w:val="28"/>
          <w:szCs w:val="28"/>
          <w:shd w:val="clear" w:color="auto" w:fill="FFFFFF"/>
          <w:lang w:val="vi-VN"/>
        </w:rPr>
        <w:t xml:space="preserve"> lợi. Phát triển hệ thống tưới tự chảy cho các khu vực này thường không khả thi hoặc nếu có thể thì chi phí đầu tư xây dựng</w:t>
      </w:r>
      <w:r w:rsidRPr="00BD384D">
        <w:rPr>
          <w:rFonts w:eastAsia="Calibri"/>
          <w:sz w:val="28"/>
          <w:szCs w:val="28"/>
          <w:shd w:val="clear" w:color="auto" w:fill="FFFFFF"/>
          <w:lang w:val="vi-VN"/>
        </w:rPr>
        <w:t>,</w:t>
      </w:r>
      <w:r w:rsidRPr="00AC327C">
        <w:rPr>
          <w:rFonts w:eastAsia="Calibri"/>
          <w:sz w:val="28"/>
          <w:szCs w:val="28"/>
          <w:shd w:val="clear" w:color="auto" w:fill="FFFFFF"/>
          <w:lang w:val="vi-VN"/>
        </w:rPr>
        <w:t xml:space="preserve"> vận hanh</w:t>
      </w:r>
      <w:r w:rsidRPr="00BD384D">
        <w:rPr>
          <w:rFonts w:eastAsia="Calibri"/>
          <w:sz w:val="28"/>
          <w:szCs w:val="28"/>
          <w:shd w:val="clear" w:color="auto" w:fill="FFFFFF"/>
          <w:lang w:val="vi-VN"/>
        </w:rPr>
        <w:t>,</w:t>
      </w:r>
      <w:r w:rsidRPr="00AC327C">
        <w:rPr>
          <w:rFonts w:eastAsia="Calibri"/>
          <w:sz w:val="28"/>
          <w:szCs w:val="28"/>
          <w:shd w:val="clear" w:color="auto" w:fill="FFFFFF"/>
          <w:lang w:val="vi-VN"/>
        </w:rPr>
        <w:t xml:space="preserve"> quản lý sẽ rất lớn và không mang lại lợi nhuận. Do vậy, giải pháp TTN có nhiều ưu điểm, thích hợp với vùng đất này.</w:t>
      </w:r>
    </w:p>
    <w:p w14:paraId="103BE7D9" w14:textId="77777777" w:rsidR="00E811FD" w:rsidRPr="00AC327C" w:rsidRDefault="00E811FD" w:rsidP="00E811FD">
      <w:pPr>
        <w:ind w:firstLine="720"/>
        <w:jc w:val="right"/>
        <w:rPr>
          <w:rFonts w:eastAsia="Calibri"/>
          <w:b/>
          <w:bCs/>
          <w:lang w:val="vi-VN"/>
        </w:rPr>
      </w:pPr>
      <w:r w:rsidRPr="00AC327C">
        <w:rPr>
          <w:rFonts w:eastAsia="Calibri"/>
          <w:b/>
          <w:bCs/>
          <w:lang w:val="vi-VN"/>
        </w:rPr>
        <w:t>BÙI CÔNG QUANG</w:t>
      </w:r>
    </w:p>
    <w:p w14:paraId="653A1991" w14:textId="77777777" w:rsidR="00E811FD" w:rsidRPr="00AC327C" w:rsidRDefault="00E811FD" w:rsidP="00E811FD">
      <w:pPr>
        <w:ind w:left="284" w:hanging="284"/>
        <w:jc w:val="both"/>
        <w:rPr>
          <w:rFonts w:eastAsia="Calibri"/>
          <w:b/>
          <w:bCs/>
          <w:shd w:val="clear" w:color="auto" w:fill="FFFFFF"/>
          <w:lang w:val="vi-VN"/>
        </w:rPr>
      </w:pPr>
      <w:r w:rsidRPr="00BD384D">
        <w:rPr>
          <w:rFonts w:eastAsia="Calibri"/>
          <w:b/>
          <w:bCs/>
          <w:shd w:val="clear" w:color="auto" w:fill="FFFFFF"/>
          <w:lang w:val="vi-VN"/>
        </w:rPr>
        <w:t>Tài liệu tham khảo</w:t>
      </w:r>
    </w:p>
    <w:p w14:paraId="00F3B030" w14:textId="77777777" w:rsidR="00E811FD" w:rsidRPr="00AC327C" w:rsidRDefault="00E811FD" w:rsidP="00E811FD">
      <w:pPr>
        <w:shd w:val="clear" w:color="auto" w:fill="FFFFFF"/>
        <w:ind w:left="284" w:hanging="284"/>
        <w:jc w:val="both"/>
        <w:rPr>
          <w:rFonts w:eastAsia="Calibri"/>
          <w:lang w:val="vi-VN"/>
        </w:rPr>
      </w:pPr>
      <w:r w:rsidRPr="00BD384D">
        <w:rPr>
          <w:rFonts w:eastAsia="Calibri"/>
          <w:lang w:val="vi-VN"/>
        </w:rPr>
        <w:t>1</w:t>
      </w:r>
      <w:r w:rsidRPr="00AC327C">
        <w:rPr>
          <w:rFonts w:eastAsia="Calibri"/>
          <w:lang w:val="vi-VN"/>
        </w:rPr>
        <w:t>. Chính phủ</w:t>
      </w:r>
      <w:r w:rsidRPr="00BD384D">
        <w:rPr>
          <w:rFonts w:eastAsia="Calibri"/>
          <w:lang w:val="vi-VN"/>
        </w:rPr>
        <w:t>,</w:t>
      </w:r>
      <w:r w:rsidRPr="00AC327C">
        <w:rPr>
          <w:rFonts w:eastAsia="Calibri"/>
          <w:lang w:val="vi-VN"/>
        </w:rPr>
        <w:t xml:space="preserve"> </w:t>
      </w:r>
      <w:r w:rsidRPr="00AC327C">
        <w:rPr>
          <w:rFonts w:eastAsia="Calibri"/>
          <w:i/>
          <w:iCs/>
          <w:lang w:val="vi-VN"/>
        </w:rPr>
        <w:t xml:space="preserve">Nghị định số 67/2012/NĐ-CP: Sửa đổi, bổ sung một số điều của Nghị định số 143/2003/NĐ-CP, </w:t>
      </w:r>
      <w:r w:rsidRPr="00AC327C">
        <w:rPr>
          <w:rFonts w:eastAsia="Calibri"/>
          <w:lang w:val="vi-VN"/>
        </w:rPr>
        <w:t>Hà Nội, 2012.</w:t>
      </w:r>
    </w:p>
    <w:p w14:paraId="1FBAD31E" w14:textId="77777777" w:rsidR="00E811FD" w:rsidRPr="00B21A3A" w:rsidRDefault="00E811FD" w:rsidP="00E811FD">
      <w:pPr>
        <w:ind w:left="284" w:hanging="284"/>
        <w:rPr>
          <w:lang w:val="vi-VN"/>
        </w:rPr>
      </w:pPr>
      <w:r w:rsidRPr="00B21A3A">
        <w:rPr>
          <w:rFonts w:eastAsia="Calibri"/>
          <w:lang w:val="vi-VN"/>
        </w:rPr>
        <w:t xml:space="preserve">2. Chính phủ, </w:t>
      </w:r>
      <w:r w:rsidRPr="00B21A3A">
        <w:rPr>
          <w:i/>
          <w:iCs/>
          <w:lang w:val="vi-VN"/>
        </w:rPr>
        <w:t>Nghị định số 96/2018/NĐ-CP Quy định chi tiết về giá sản phẩm, dịch vụ thủy lợi và hỗ trợ tiền sử dụng sản phẩm, dịch vụ công ích thủy lợi</w:t>
      </w:r>
      <w:r w:rsidRPr="00B21A3A">
        <w:rPr>
          <w:lang w:val="vi-VN"/>
        </w:rPr>
        <w:t>, 30.6.2018.</w:t>
      </w:r>
    </w:p>
    <w:p w14:paraId="5D41E9C8" w14:textId="77777777" w:rsidR="00E811FD" w:rsidRPr="00BD384D" w:rsidRDefault="00E811FD" w:rsidP="00E811FD">
      <w:pPr>
        <w:shd w:val="clear" w:color="auto" w:fill="FFFFFF"/>
        <w:ind w:left="284" w:hanging="284"/>
        <w:jc w:val="both"/>
        <w:rPr>
          <w:lang w:val="vi-VN"/>
        </w:rPr>
      </w:pPr>
      <w:r w:rsidRPr="00BD384D">
        <w:rPr>
          <w:rFonts w:eastAsia="Calibri"/>
          <w:shd w:val="clear" w:color="auto" w:fill="FFFFFF"/>
          <w:lang w:val="vi-VN"/>
        </w:rPr>
        <w:t>3</w:t>
      </w:r>
      <w:r w:rsidRPr="00AC327C">
        <w:rPr>
          <w:rFonts w:eastAsia="Calibri"/>
          <w:shd w:val="clear" w:color="auto" w:fill="FFFFFF"/>
          <w:lang w:val="vi-VN"/>
        </w:rPr>
        <w:t>.</w:t>
      </w:r>
      <w:r w:rsidRPr="00BD384D">
        <w:rPr>
          <w:rFonts w:eastAsia="Calibri"/>
          <w:shd w:val="clear" w:color="auto" w:fill="FFFFFF"/>
          <w:lang w:val="vi-VN"/>
        </w:rPr>
        <w:t xml:space="preserve"> </w:t>
      </w:r>
      <w:r w:rsidRPr="00AC327C">
        <w:rPr>
          <w:rFonts w:eastAsia="Calibri"/>
          <w:lang w:val="vi-VN"/>
        </w:rPr>
        <w:t xml:space="preserve">Ủy ban Tưới tiêu Quốc tế, Bộ Nông nghiệp </w:t>
      </w:r>
      <w:r w:rsidRPr="00BD384D">
        <w:rPr>
          <w:rFonts w:eastAsia="Calibri"/>
          <w:lang w:val="vi-VN"/>
        </w:rPr>
        <w:t>và</w:t>
      </w:r>
      <w:r w:rsidRPr="00AC327C">
        <w:rPr>
          <w:rFonts w:eastAsia="Calibri"/>
          <w:lang w:val="vi-VN"/>
        </w:rPr>
        <w:t xml:space="preserve"> Phát triển Nông thôn</w:t>
      </w:r>
      <w:r w:rsidRPr="00BD384D">
        <w:rPr>
          <w:rFonts w:eastAsia="Calibri"/>
          <w:lang w:val="vi-VN"/>
        </w:rPr>
        <w:t>,</w:t>
      </w:r>
      <w:r w:rsidRPr="00AC327C">
        <w:rPr>
          <w:rFonts w:eastAsia="Calibri"/>
          <w:lang w:val="vi-VN"/>
        </w:rPr>
        <w:t xml:space="preserve"> </w:t>
      </w:r>
      <w:r w:rsidRPr="00AC327C">
        <w:rPr>
          <w:i/>
          <w:iCs/>
          <w:lang w:val="vi-VN"/>
        </w:rPr>
        <w:t>T</w:t>
      </w:r>
      <w:r w:rsidRPr="00BD384D">
        <w:rPr>
          <w:i/>
          <w:iCs/>
          <w:lang w:val="vi-VN"/>
        </w:rPr>
        <w:t>ừ</w:t>
      </w:r>
      <w:r w:rsidRPr="00AC327C">
        <w:rPr>
          <w:i/>
          <w:iCs/>
          <w:lang w:val="vi-VN"/>
        </w:rPr>
        <w:t xml:space="preserve"> điển thuật ngữ kỹ thuật chuyên ngành Thủy lợi</w:t>
      </w:r>
      <w:r w:rsidRPr="00BD384D">
        <w:rPr>
          <w:lang w:val="vi-VN"/>
        </w:rPr>
        <w:t>,</w:t>
      </w:r>
      <w:r w:rsidRPr="00AC327C">
        <w:rPr>
          <w:lang w:val="vi-VN"/>
        </w:rPr>
        <w:t xml:space="preserve"> Nxb</w:t>
      </w:r>
      <w:r w:rsidRPr="00BD384D">
        <w:rPr>
          <w:lang w:val="vi-VN"/>
        </w:rPr>
        <w:t>.</w:t>
      </w:r>
      <w:r w:rsidRPr="00AC327C">
        <w:rPr>
          <w:lang w:val="vi-VN"/>
        </w:rPr>
        <w:t xml:space="preserve"> Xây dựng</w:t>
      </w:r>
      <w:r w:rsidRPr="00BD384D">
        <w:rPr>
          <w:lang w:val="vi-VN"/>
        </w:rPr>
        <w:t>,</w:t>
      </w:r>
      <w:r w:rsidRPr="00AC327C">
        <w:rPr>
          <w:lang w:val="vi-VN"/>
        </w:rPr>
        <w:t xml:space="preserve"> Hà Nội</w:t>
      </w:r>
      <w:r w:rsidRPr="00BD384D">
        <w:rPr>
          <w:lang w:val="vi-VN"/>
        </w:rPr>
        <w:t>,</w:t>
      </w:r>
      <w:r w:rsidRPr="00AC327C">
        <w:rPr>
          <w:lang w:val="vi-VN"/>
        </w:rPr>
        <w:t xml:space="preserve"> 2002</w:t>
      </w:r>
      <w:r w:rsidRPr="00BD384D">
        <w:rPr>
          <w:lang w:val="vi-VN"/>
        </w:rPr>
        <w:t>, tr.</w:t>
      </w:r>
      <w:r w:rsidRPr="00AC327C">
        <w:rPr>
          <w:lang w:val="vi-VN"/>
        </w:rPr>
        <w:t xml:space="preserve"> 41</w:t>
      </w:r>
      <w:r w:rsidRPr="00BD384D">
        <w:rPr>
          <w:lang w:val="vi-VN"/>
        </w:rPr>
        <w:t>.</w:t>
      </w:r>
    </w:p>
    <w:p w14:paraId="44B298BA" w14:textId="77777777" w:rsidR="00E811FD" w:rsidRPr="00BD384D" w:rsidRDefault="00E811FD" w:rsidP="00E811FD">
      <w:pPr>
        <w:pStyle w:val="ListParagraph"/>
        <w:spacing w:after="0" w:line="240" w:lineRule="auto"/>
        <w:ind w:left="0"/>
        <w:jc w:val="both"/>
        <w:rPr>
          <w:b/>
          <w:lang w:val="vi-VN"/>
        </w:rPr>
      </w:pPr>
    </w:p>
    <w:p w14:paraId="524BBEA0"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FD"/>
    <w:rsid w:val="00000CD6"/>
    <w:rsid w:val="000A6B36"/>
    <w:rsid w:val="001A139D"/>
    <w:rsid w:val="006A583F"/>
    <w:rsid w:val="00872111"/>
    <w:rsid w:val="00900E98"/>
    <w:rsid w:val="009C751F"/>
    <w:rsid w:val="00C53327"/>
    <w:rsid w:val="00E81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4805"/>
  <w15:chartTrackingRefBased/>
  <w15:docId w15:val="{073E3178-1A05-4425-9CE1-78030800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1FD"/>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E811F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E811F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E811F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E811FD"/>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E811FD"/>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E811FD"/>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E811FD"/>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E811FD"/>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E811FD"/>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1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E811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11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11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11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1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1FD"/>
    <w:rPr>
      <w:rFonts w:eastAsiaTheme="majorEastAsia" w:cstheme="majorBidi"/>
      <w:color w:val="272727" w:themeColor="text1" w:themeTint="D8"/>
    </w:rPr>
  </w:style>
  <w:style w:type="paragraph" w:styleId="Title">
    <w:name w:val="Title"/>
    <w:basedOn w:val="Normal"/>
    <w:next w:val="Normal"/>
    <w:link w:val="TitleChar"/>
    <w:uiPriority w:val="10"/>
    <w:qFormat/>
    <w:rsid w:val="00E811FD"/>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E81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1F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E81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1FD"/>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E811FD"/>
    <w:rPr>
      <w:i/>
      <w:iCs/>
      <w:color w:val="404040" w:themeColor="text1" w:themeTint="BF"/>
    </w:rPr>
  </w:style>
  <w:style w:type="paragraph" w:styleId="ListParagraph">
    <w:name w:val="List Paragraph"/>
    <w:aliases w:val="Red,ANNEX,List Paragraph1,List Paragraph2"/>
    <w:basedOn w:val="Normal"/>
    <w:link w:val="ListParagraphChar"/>
    <w:uiPriority w:val="34"/>
    <w:qFormat/>
    <w:rsid w:val="00E811FD"/>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E811FD"/>
    <w:rPr>
      <w:i/>
      <w:iCs/>
      <w:color w:val="2F5496" w:themeColor="accent1" w:themeShade="BF"/>
    </w:rPr>
  </w:style>
  <w:style w:type="paragraph" w:styleId="IntenseQuote">
    <w:name w:val="Intense Quote"/>
    <w:basedOn w:val="Normal"/>
    <w:next w:val="Normal"/>
    <w:link w:val="IntenseQuoteChar"/>
    <w:uiPriority w:val="30"/>
    <w:qFormat/>
    <w:rsid w:val="00E811F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E811FD"/>
    <w:rPr>
      <w:i/>
      <w:iCs/>
      <w:color w:val="2F5496" w:themeColor="accent1" w:themeShade="BF"/>
    </w:rPr>
  </w:style>
  <w:style w:type="character" w:styleId="IntenseReference">
    <w:name w:val="Intense Reference"/>
    <w:basedOn w:val="DefaultParagraphFont"/>
    <w:uiPriority w:val="32"/>
    <w:qFormat/>
    <w:rsid w:val="00E811FD"/>
    <w:rPr>
      <w:b/>
      <w:bCs/>
      <w:smallCaps/>
      <w:color w:val="2F5496" w:themeColor="accent1" w:themeShade="BF"/>
      <w:spacing w:val="5"/>
    </w:rPr>
  </w:style>
  <w:style w:type="character" w:customStyle="1" w:styleId="ListParagraphChar">
    <w:name w:val="List Paragraph Char"/>
    <w:aliases w:val="Red Char,ANNEX Char,List Paragraph1 Char,List Paragraph2 Char"/>
    <w:link w:val="ListParagraph"/>
    <w:uiPriority w:val="34"/>
    <w:locked/>
    <w:rsid w:val="00E81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2025-11-26T14:22:00Z</dcterms:created>
  <dcterms:modified xsi:type="dcterms:W3CDTF">2025-11-26T14:22:00Z</dcterms:modified>
</cp:coreProperties>
</file>